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Приложение № 3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Правительством Российской Федерации принят ряд программ государственной поддержки для предприятий МСП, производственных компаний крупного бизнеса и системообразующих. 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Данные программы требует для предприятий разъяснения бизнес - сообществу  по механизмам поддержки и механизмам их получения, а также программ льготного кредитования.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данной связи Оргкомитет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/>
        </w:rPr>
        <w:t xml:space="preserve"> Конкурса «Интеграция» (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www</w:t>
        </w:r>
        <w:r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invest</w:t>
        </w:r>
        <w:r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</w:rPr>
          <w:t>eaeunion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org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>) ведет работу по рассмотрению заявок на льготное кредитование предприятий.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Работа данной программы направлена на все отрасли промышленности.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Работа ведется по проектам следующих типов и категорий:</w:t>
      </w:r>
    </w:p>
    <w:p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Новое строительство; </w:t>
      </w:r>
    </w:p>
    <w:p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Модернизация;</w:t>
      </w:r>
    </w:p>
    <w:p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Реконструкция; </w:t>
      </w:r>
    </w:p>
    <w:p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Перепрофилирование предприятия;</w:t>
      </w:r>
    </w:p>
    <w:p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Пополнение оборотных средств;</w:t>
      </w:r>
    </w:p>
    <w:p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Исполнение контрактов;</w:t>
      </w:r>
    </w:p>
    <w:p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Локализация производства;</w:t>
      </w:r>
    </w:p>
    <w:p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Приобретение произво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дств / пр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едприятий. 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Направленность проектов: </w:t>
      </w:r>
    </w:p>
    <w:p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Агропромышленный комплекс;</w:t>
      </w:r>
    </w:p>
    <w:p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Промышленные предприятия;</w:t>
      </w:r>
    </w:p>
    <w:p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Предприятия ЖКХ;</w:t>
      </w:r>
    </w:p>
    <w:p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Социальные объекты; </w:t>
      </w:r>
    </w:p>
    <w:p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Объекты инфраструктуры.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Требования к проектам и инициаторам проектов: </w:t>
      </w:r>
    </w:p>
    <w:p>
      <w:pPr>
        <w:pStyle w:val="a4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Бюджет проекта: от 10 млн. рублей;</w:t>
      </w:r>
    </w:p>
    <w:p>
      <w:pPr>
        <w:pStyle w:val="a4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Доля обеспеченности проекта залогом: не менее 25% от </w:t>
      </w: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суммы кредита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>
      <w:pPr>
        <w:pStyle w:val="a4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Доля собственных средств: не менее 20% от </w:t>
      </w: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суммы проекта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>
      <w:pPr>
        <w:pStyle w:val="a4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Срок кредитования проектов: от 3 - 10 лет;</w:t>
      </w:r>
    </w:p>
    <w:p>
      <w:pPr>
        <w:pStyle w:val="a4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Стоимость средств: в зависимости от программы поддержки (от 3-9,5%/ годовых);</w:t>
      </w:r>
    </w:p>
    <w:p>
      <w:pPr>
        <w:pStyle w:val="a4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Финансовые каникулы на долг: на период строительства и монтажа оборудования (не более 2 лет);</w:t>
      </w:r>
    </w:p>
    <w:p>
      <w:pPr>
        <w:pStyle w:val="a4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Финансовые каникулы по уплате процентов: до 6 месяцев.</w:t>
      </w:r>
    </w:p>
    <w:p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Для упрощения работы по реализации бизнес – инициатив были разработаны «типовые» проекты, что позволят сократить сроки рассмотрения, а также пакет предоставляемых документов (Приложение №1 </w:t>
      </w:r>
      <w:r>
        <w:rPr>
          <w:rFonts w:ascii="Times New Roman" w:hAnsi="Times New Roman" w:cs="Times New Roman"/>
          <w:sz w:val="26"/>
          <w:szCs w:val="26"/>
          <w:highlight w:val="green"/>
          <w:lang w:val="ru-RU"/>
        </w:rPr>
        <w:t>активная ссылка на документ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). </w:t>
      </w:r>
    </w:p>
    <w:p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Для реализации проектов, связанных с модернизацией, реконструкцией очистных сооружений и котельных, разработана партнёрская программа совместно с ПАО «Мегафон», где снижены требования к финансовым показателям инициаторов проектов. </w:t>
      </w:r>
    </w:p>
    <w:p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Более детальная информация о программе,  а также процедура работы программы, указана в презентационном материале (Приложение №2 </w:t>
      </w:r>
      <w:r>
        <w:rPr>
          <w:rFonts w:ascii="Times New Roman" w:hAnsi="Times New Roman" w:cs="Times New Roman"/>
          <w:sz w:val="26"/>
          <w:szCs w:val="26"/>
          <w:highlight w:val="green"/>
          <w:lang w:val="ru-RU"/>
        </w:rPr>
        <w:t>активная ссылка на документ</w:t>
      </w:r>
      <w:r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Заявки принимает к рассмотрению Оргкомитет конкурса «Интеграция» (Приложение № 3 </w:t>
      </w:r>
      <w:r>
        <w:rPr>
          <w:rFonts w:ascii="Times New Roman" w:hAnsi="Times New Roman" w:cs="Times New Roman"/>
          <w:sz w:val="26"/>
          <w:szCs w:val="26"/>
          <w:highlight w:val="green"/>
          <w:lang w:val="ru-RU"/>
        </w:rPr>
        <w:t>активная ссылка на документ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) на почту: </w:t>
      </w:r>
      <w:hyperlink r:id="rId7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info</w:t>
        </w:r>
        <w:r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infra</w:t>
        </w:r>
        <w:r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</w:rPr>
          <w:t>konkurs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Результатом рассмотрения заявок является получения кредитных средств по  специальной льготной программе кредитования, а также получения средств государственной поддержки.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Прием заявок ведётся на постоянной основе (Приложение № 2).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Ответственный сотрудник для взаимодействия _____ области / края: ________________.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Контактное лицо со стороны Организационного комитета Конкурса –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Биткова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Юлия Владимировна,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конт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. тел. 8 (926) 631–74–71, 8 (800) 775–10–73,  </w:t>
      </w:r>
      <w:hyperlink r:id="rId8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bitkova</w:t>
        </w:r>
        <w:r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infra</w:t>
        </w:r>
        <w:r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konkurs</w:t>
        </w:r>
        <w:r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. Информацию направлять на почту: </w:t>
      </w:r>
      <w:hyperlink r:id="rId9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info</w:t>
        </w:r>
        <w:r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infra</w:t>
        </w:r>
        <w:r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konkurs</w:t>
        </w:r>
        <w:r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922"/>
    <w:multiLevelType w:val="hybridMultilevel"/>
    <w:tmpl w:val="DC36A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7B0B3E"/>
    <w:multiLevelType w:val="hybridMultilevel"/>
    <w:tmpl w:val="DFE4B98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est-eaeunion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nfra-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shenia</cp:lastModifiedBy>
  <cp:revision>4</cp:revision>
  <dcterms:created xsi:type="dcterms:W3CDTF">2022-07-21T14:01:00Z</dcterms:created>
  <dcterms:modified xsi:type="dcterms:W3CDTF">2022-07-22T11:17:00Z</dcterms:modified>
</cp:coreProperties>
</file>